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shd w:val="clear" w:color="auto" w:fill="auto"/>
        <w:tblLayout w:type="autofit"/>
        <w:tblCellMar>
          <w:top w:w="0" w:type="dxa"/>
          <w:left w:w="0" w:type="dxa"/>
          <w:bottom w:w="0" w:type="dxa"/>
          <w:right w:w="0" w:type="dxa"/>
        </w:tblCellMar>
      </w:tblPr>
      <w:tblGrid>
        <w:gridCol w:w="950"/>
        <w:gridCol w:w="987"/>
        <w:gridCol w:w="1835"/>
        <w:gridCol w:w="6084"/>
        <w:gridCol w:w="630"/>
        <w:gridCol w:w="4942"/>
      </w:tblGrid>
      <w:tr>
        <w:tblPrEx>
          <w:shd w:val="clear" w:color="auto" w:fill="auto"/>
          <w:tblCellMar>
            <w:top w:w="0" w:type="dxa"/>
            <w:left w:w="0" w:type="dxa"/>
            <w:bottom w:w="0" w:type="dxa"/>
            <w:right w:w="0" w:type="dxa"/>
          </w:tblCellMar>
        </w:tblPrEx>
        <w:trPr>
          <w:trHeight w:val="699" w:hRule="atLeast"/>
        </w:trPr>
        <w:tc>
          <w:tcPr>
            <w:tcW w:w="0" w:type="auto"/>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32"/>
                <w:szCs w:val="32"/>
                <w:u w:val="none"/>
              </w:rPr>
            </w:pPr>
            <w:r>
              <w:rPr>
                <w:rFonts w:hint="eastAsia" w:ascii="宋体" w:hAnsi="宋体" w:eastAsia="宋体" w:cs="宋体"/>
                <w:b/>
                <w:bCs/>
                <w:i w:val="0"/>
                <w:color w:val="000000"/>
                <w:kern w:val="0"/>
                <w:sz w:val="32"/>
                <w:szCs w:val="32"/>
                <w:u w:val="none"/>
                <w:lang w:val="en-US" w:eastAsia="zh-CN" w:bidi="ar"/>
              </w:rPr>
              <w:t>绍兴市各级各类群众体育赛事和活动项目评分表</w:t>
            </w: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一级指标</w:t>
            </w:r>
          </w:p>
        </w:tc>
        <w:tc>
          <w:tcPr>
            <w:tcW w:w="987"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二级指标</w:t>
            </w:r>
          </w:p>
        </w:tc>
        <w:tc>
          <w:tcPr>
            <w:tcW w:w="1835"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评价内容（标准）</w:t>
            </w:r>
          </w:p>
        </w:tc>
        <w:tc>
          <w:tcPr>
            <w:tcW w:w="630"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得分</w:t>
            </w:r>
          </w:p>
        </w:tc>
        <w:tc>
          <w:tcPr>
            <w:tcW w:w="4942"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评分说明</w:t>
            </w:r>
          </w:p>
        </w:tc>
      </w:tr>
      <w:tr>
        <w:tblPrEx>
          <w:tblCellMar>
            <w:top w:w="0" w:type="dxa"/>
            <w:left w:w="0" w:type="dxa"/>
            <w:bottom w:w="0" w:type="dxa"/>
            <w:right w:w="0" w:type="dxa"/>
          </w:tblCellMar>
        </w:tblPrEx>
        <w:trPr>
          <w:trHeight w:val="14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经济性/相关性（20分）</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项目决策科学性（12分）</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项目实施的必要性（6分）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采购及买服务是党机关、事业单位社会团体为了履行承担职责、完成某项工作、实现事业目标，面向社会实施的“采购、买”行为。考察公共体育竞赛活动的组织与承办项目的实施是否具有充分的现实需求，是否符合工作的需要</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符合全民健身工作开展的要求和健康浙江（体育部分）考核</w:t>
            </w: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公共财政扶持的必要性（6分）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察公共体育赛事活动组织和实施项目与承办项目是否由市场无法解决，必须由公共财政进行扶持。体育竞赛活动的组织与承办项目与公共财政资金扶持的方向相符情况：1.相符，权重得分100%；2.较相符，权重得分80%；3.符合性一般，权重得分50%；4.不相符，权重得分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lang w:val="en-US" w:eastAsia="zh-CN"/>
              </w:rPr>
              <w:t>群体活动旨在提升大众对体育活动的爱好，本身群众对此类活动的自发需求较小，还处在培育阶段，难以市场化，存在必要性。</w:t>
            </w: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绩效目标科学性（4分）</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绩效目标及指标设置科学性（4分）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是否设置了绩效目标设立，是否依据充分、绩效指标是否明确且量化，任务数分解是否合理，全部符合的，得4分；未设立中长期绩效目标，扣1分；依据不充分，扣1分；指标设立不明确、应量化的未量化，扣1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1.已设置明确、可量化的绩效指标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2.均符合</w:t>
            </w: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财政投入合理性（4分）</w:t>
            </w:r>
          </w:p>
        </w:tc>
        <w:tc>
          <w:tcPr>
            <w:tcW w:w="18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项目的经济性（4分）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1.考察由市财政负担的项目评价年度资金投入的节约情况：项目实施过程中是否存在浪费的情况：不存在浪费的情况，得2分；每出现一处不能节约资金投入的情况，扣0.5分。</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9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由于城市的能级的限制，不是所有赛事活动都能取得社会资本赞助，因此财政经费节约并不明显。</w:t>
            </w:r>
            <w:r>
              <w:rPr>
                <w:rFonts w:hint="eastAsia" w:ascii="宋体" w:hAnsi="宋体" w:eastAsia="宋体" w:cs="宋体"/>
                <w:i w:val="0"/>
                <w:color w:val="000000"/>
                <w:kern w:val="0"/>
                <w:sz w:val="24"/>
                <w:szCs w:val="24"/>
                <w:u w:val="none"/>
                <w:lang w:val="en-US" w:eastAsia="zh-CN" w:bidi="ar"/>
              </w:rPr>
              <w:br w:type="textWrapping"/>
            </w: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4"/>
                <w:lang w:val="en-US" w:eastAsia="zh-CN" w:bidi="ar"/>
              </w:rPr>
              <w:t>2.考察购买服务对体育赛事单个项目间成本投入、竞技场地建设项目间成本投入与市场化的提供方式是否使得财政资金的投入得到有效节约：</w:t>
            </w:r>
            <w:r>
              <w:rPr>
                <w:rStyle w:val="5"/>
                <w:lang w:val="en-US" w:eastAsia="zh-CN" w:bidi="ar"/>
              </w:rPr>
              <w:t>持平或偏低的，得2分；偏高0-10%（不含）的，得1.5分；偏高10%-20%（不含）的，得1分；偏高20%以上的，不得分。</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效率性（30分）</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产出效率（12分)</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公共体育竞赛举办情况（4分）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通过项目实施，能够达到计划赛事场次的，得4分；未达到的，按比例计分。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按照赛事计划实施。</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参与受益人数</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参赛运动员达到300人以上，参加活动人数达到1000人以上</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达到</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体育惠民情况（4分）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体育下乡</w:t>
            </w:r>
            <w:r>
              <w:rPr>
                <w:rFonts w:hint="eastAsia" w:ascii="宋体" w:hAnsi="宋体" w:eastAsia="宋体" w:cs="宋体"/>
                <w:i w:val="0"/>
                <w:color w:val="000000"/>
                <w:sz w:val="24"/>
                <w:szCs w:val="24"/>
                <w:u w:val="none"/>
                <w:lang w:val="en-US" w:eastAsia="zh-CN"/>
              </w:rPr>
              <w:t>20个以上，那比例扣分</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9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达到</w:t>
            </w:r>
            <w:r>
              <w:rPr>
                <w:rFonts w:hint="eastAsia" w:ascii="宋体" w:hAnsi="宋体" w:eastAsia="宋体" w:cs="宋体"/>
                <w:i w:val="0"/>
                <w:color w:val="000000"/>
                <w:sz w:val="24"/>
                <w:szCs w:val="24"/>
                <w:u w:val="none"/>
                <w:lang w:val="en-US" w:eastAsia="zh-CN"/>
              </w:rPr>
              <w:t>100个</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业务管理效率（10分）</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业务管理效率</w:t>
            </w:r>
          </w:p>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（10分）       </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资金支出的合规性：以程序规范、合同约束、全程监管、信息公开为主要内容，考察项目申报、项目评审、组织采购、资质审查、合同签订、项目监管、绩效评价、经费支付一体化流程是否规范：全部符合的得5分，出现1处不符合/未到位的，扣0.5分，扣完为止。</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符合要求。</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资金管理效率（8分）</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预算执行率（5分）           </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预算执行率达到95%及以上不扣分，不到的每下降1个百分点扣0.1分。预算执行率=预算支出数/预算安排数*100%。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b w:val="0"/>
                <w:bCs w:val="0"/>
                <w:i w:val="0"/>
                <w:color w:val="auto"/>
                <w:sz w:val="24"/>
                <w:szCs w:val="24"/>
                <w:u w:val="none"/>
                <w:lang w:val="en-US" w:eastAsia="zh-CN"/>
              </w:rPr>
              <w:t>84.03%</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资金拨付及时性（3分）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考核资金拨付的及时性，出现一笔资金拨付不及时的，扣0.3分，扣完为止。</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拨付及时</w:t>
            </w:r>
          </w:p>
        </w:tc>
      </w:tr>
      <w:tr>
        <w:tblPrEx>
          <w:tblCellMar>
            <w:top w:w="0" w:type="dxa"/>
            <w:left w:w="0" w:type="dxa"/>
            <w:bottom w:w="0" w:type="dxa"/>
            <w:right w:w="0"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有效性（30分）</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社会效益（15分）</w:t>
            </w:r>
          </w:p>
        </w:tc>
        <w:tc>
          <w:tcPr>
            <w:tcW w:w="18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全国性、省级比赛社会影响情况（5分）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获省级及以上媒体报道1次计1分，市级计0.8分，区级计0.6分，街道级计0.4分，街道以下计0.2分；自媒体2万关注以上等同于省级及以上，1万至2万等同市级，5000至1万等同区级，2000至5000等同于街道级，同一活动累计报道按最高级别单次计算，最高不超过2分。</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w:t>
            </w:r>
          </w:p>
        </w:tc>
        <w:tc>
          <w:tcPr>
            <w:tcW w:w="49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体育赛事项目均有符合宣传次数要求</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项目承办完整性和安全性（8分）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在赛事承办过程中，存在一次安全事故，不得分。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无安全事故</w:t>
            </w: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群众健身参与度情况（2分）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考察项目实施后，绍兴市内群众健身参与度提升情况，根据绍兴市体育局提供的统计数据结果，得分=群众健身参与度提升的比率*2。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体育人口增长未达到目标</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项目实施满意度（15分）</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体育惠民对象对购买服务项目的满意度（5分）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满意度100%的为满分，每下降1个百分点扣0.25分，扣完为止。</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满意度较好</w:t>
            </w: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教练员、运动员满意率（6分）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满意度100%的为满分，每下降1个百分点扣0.25分，扣完为止。该部分调查由中介机构开展。</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满意度较好</w:t>
            </w: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问卷调查情况反映满意率。（4分）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满意度100%的为满分，每下降1个百分点扣0.25分，扣完为止。该部分调查由中介机构开展。</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满意度较好</w:t>
            </w:r>
          </w:p>
        </w:tc>
      </w:tr>
      <w:tr>
        <w:tblPrEx>
          <w:tblCellMar>
            <w:top w:w="0" w:type="dxa"/>
            <w:left w:w="0" w:type="dxa"/>
            <w:bottom w:w="0" w:type="dxa"/>
            <w:right w:w="0"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公平性（10分）</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实施效果公平性（10分）</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实际受益区域范围（10分）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考核项目是否存在有失公平情况，经调查存在裁判员、工作人员徇私舞弊行为的，一次扣5分，扣完为止</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赛事公平公正，为出现赛风赛纪问题。</w:t>
            </w:r>
          </w:p>
        </w:tc>
      </w:tr>
      <w:tr>
        <w:tblPrEx>
          <w:tblCellMar>
            <w:top w:w="0" w:type="dxa"/>
            <w:left w:w="0" w:type="dxa"/>
            <w:bottom w:w="0" w:type="dxa"/>
            <w:right w:w="0" w:type="dxa"/>
          </w:tblCellMar>
        </w:tblPrEx>
        <w:trPr>
          <w:trHeight w:val="85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可持续性（10分）</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资源投入的可持续性（6分）</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保障资源可持续性（6分）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考察该项目后续机构、人员、资金等资源能否可持续投入，巩固并提升项目工作成果，全部都能稳定保障的，得6分；有一方面无法保障的，扣2分。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赛事项目均有连贯性，大部分赛事均未举办多年的品牌赛事。</w:t>
            </w: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项目影响的可持续性（4分）</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工作成果的可推广应用性（4分）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4"/>
                <w:lang w:val="en-US" w:eastAsia="zh-CN" w:bidi="ar"/>
              </w:rPr>
              <w:t>1.考察体育竞赛活动的可持续影响，是否持续举办，是否能产生长远效益、品牌效益：</w:t>
            </w:r>
            <w:r>
              <w:rPr>
                <w:rStyle w:val="5"/>
                <w:lang w:val="en-US" w:eastAsia="zh-CN" w:bidi="ar"/>
              </w:rPr>
              <w:t>可持续性影响较好，得</w:t>
            </w:r>
            <w:r>
              <w:rPr>
                <w:rStyle w:val="5"/>
                <w:rFonts w:hint="eastAsia"/>
                <w:lang w:val="en-US" w:eastAsia="zh-CN" w:bidi="ar"/>
              </w:rPr>
              <w:t>4</w:t>
            </w:r>
            <w:r>
              <w:rPr>
                <w:rStyle w:val="5"/>
                <w:lang w:val="en-US" w:eastAsia="zh-CN" w:bidi="ar"/>
              </w:rPr>
              <w:t>分，可持续性影响一般，得</w:t>
            </w:r>
            <w:r>
              <w:rPr>
                <w:rStyle w:val="5"/>
                <w:rFonts w:hint="eastAsia"/>
                <w:lang w:val="en-US" w:eastAsia="zh-CN" w:bidi="ar"/>
              </w:rPr>
              <w:t>2</w:t>
            </w:r>
            <w:r>
              <w:rPr>
                <w:rStyle w:val="5"/>
                <w:lang w:val="en-US" w:eastAsia="zh-CN" w:bidi="ar"/>
              </w:rPr>
              <w:t>分，可持续性影响较差，不得分；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部分赛事活动项目影响较一般，有提升空间，得1分</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89</w:t>
            </w:r>
          </w:p>
        </w:tc>
        <w:tc>
          <w:tcPr>
            <w:tcW w:w="4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lang w:eastAsia="zh-CN"/>
              </w:rPr>
            </w:pPr>
            <w:bookmarkStart w:id="0" w:name="_GoBack"/>
            <w:bookmarkEnd w:id="0"/>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6639F"/>
    <w:rsid w:val="00445A14"/>
    <w:rsid w:val="11493573"/>
    <w:rsid w:val="19EC0668"/>
    <w:rsid w:val="2F36639F"/>
    <w:rsid w:val="347545A1"/>
    <w:rsid w:val="65447A23"/>
    <w:rsid w:val="65BC556C"/>
    <w:rsid w:val="78CB5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24"/>
      <w:szCs w:val="24"/>
      <w:u w:val="none"/>
    </w:rPr>
  </w:style>
  <w:style w:type="character" w:customStyle="1" w:styleId="5">
    <w:name w:val="font31"/>
    <w:basedOn w:val="3"/>
    <w:qFormat/>
    <w:uiPriority w:val="0"/>
    <w:rPr>
      <w:rFonts w:hint="eastAsia" w:ascii="宋体" w:hAnsi="宋体" w:eastAsia="宋体" w:cs="宋体"/>
      <w:color w:val="000000"/>
      <w:sz w:val="24"/>
      <w:szCs w:val="24"/>
      <w:u w:val="none"/>
    </w:rPr>
  </w:style>
  <w:style w:type="character" w:customStyle="1" w:styleId="6">
    <w:name w:val="font11"/>
    <w:basedOn w:val="3"/>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2020-07-01T03:46:00Z</dcterms:created>
  <dc:creator>卡西莫多</dc:creator>
  <cp:lastModifiedBy>Ivy</cp:lastModifiedBy>
  <dcterms:modified xsi:type="dcterms:W3CDTF">2020-07-03T06:26:25Z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